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41AB1" w14:textId="77777777" w:rsidR="008A6140" w:rsidRPr="00262DB4" w:rsidRDefault="008A6140" w:rsidP="008A6140">
      <w:pPr>
        <w:ind w:left="720" w:hanging="360"/>
        <w:jc w:val="center"/>
        <w:rPr>
          <w:lang w:val="en-GB"/>
        </w:rPr>
      </w:pPr>
      <w:r w:rsidRPr="00262DB4">
        <w:rPr>
          <w:noProof/>
          <w:lang w:val="en-GB"/>
        </w:rPr>
        <w:drawing>
          <wp:inline distT="0" distB="0" distL="0" distR="0" wp14:anchorId="18A9E1FF" wp14:editId="25B24028">
            <wp:extent cx="3297039" cy="53552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-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039" cy="53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0C70D" w14:textId="77777777" w:rsidR="008A6140" w:rsidRPr="00262DB4" w:rsidRDefault="008A6140" w:rsidP="008A6140">
      <w:pPr>
        <w:ind w:left="360"/>
        <w:jc w:val="center"/>
        <w:rPr>
          <w:sz w:val="20"/>
          <w:szCs w:val="20"/>
          <w:lang w:val="en-GB"/>
        </w:rPr>
      </w:pPr>
    </w:p>
    <w:p w14:paraId="5D4113E4" w14:textId="77777777" w:rsidR="008A6140" w:rsidRPr="00F22406" w:rsidRDefault="008A6140" w:rsidP="008A6140">
      <w:pPr>
        <w:ind w:left="360"/>
        <w:jc w:val="center"/>
        <w:rPr>
          <w:sz w:val="20"/>
          <w:szCs w:val="20"/>
          <w:lang w:val="fr-FR"/>
        </w:rPr>
      </w:pPr>
      <w:r w:rsidRPr="00F22406">
        <w:rPr>
          <w:sz w:val="20"/>
          <w:szCs w:val="20"/>
          <w:lang w:val="fr-FR"/>
        </w:rPr>
        <w:t xml:space="preserve">Rue de la Loi, </w:t>
      </w:r>
      <w:proofErr w:type="spellStart"/>
      <w:r w:rsidRPr="00F22406">
        <w:rPr>
          <w:sz w:val="20"/>
          <w:szCs w:val="20"/>
          <w:lang w:val="fr-FR"/>
        </w:rPr>
        <w:t>Bruselas</w:t>
      </w:r>
      <w:proofErr w:type="spellEnd"/>
      <w:r w:rsidRPr="00F22406">
        <w:rPr>
          <w:sz w:val="20"/>
          <w:szCs w:val="20"/>
          <w:lang w:val="fr-FR"/>
        </w:rPr>
        <w:t xml:space="preserve">, </w:t>
      </w:r>
      <w:proofErr w:type="spellStart"/>
      <w:r w:rsidRPr="00F22406">
        <w:rPr>
          <w:sz w:val="20"/>
          <w:szCs w:val="20"/>
          <w:lang w:val="fr-FR"/>
        </w:rPr>
        <w:t>Bélgica</w:t>
      </w:r>
      <w:proofErr w:type="spellEnd"/>
    </w:p>
    <w:p w14:paraId="24A4E753" w14:textId="77777777" w:rsidR="008A6140" w:rsidRPr="00F22406" w:rsidRDefault="008A6140" w:rsidP="008A6140">
      <w:pPr>
        <w:ind w:left="360"/>
        <w:jc w:val="center"/>
        <w:rPr>
          <w:sz w:val="20"/>
          <w:szCs w:val="20"/>
          <w:lang w:val="fr-FR"/>
        </w:rPr>
      </w:pPr>
      <w:r w:rsidRPr="00F22406">
        <w:rPr>
          <w:sz w:val="20"/>
          <w:szCs w:val="20"/>
          <w:lang w:val="fr-FR"/>
        </w:rPr>
        <w:t>info@adelante2.eu</w:t>
      </w:r>
    </w:p>
    <w:p w14:paraId="654B184B" w14:textId="77777777" w:rsidR="008A6140" w:rsidRPr="00F22406" w:rsidRDefault="006A270F" w:rsidP="008A6140">
      <w:pPr>
        <w:ind w:left="360"/>
        <w:jc w:val="center"/>
        <w:rPr>
          <w:sz w:val="20"/>
          <w:szCs w:val="20"/>
          <w:lang w:val="fr-FR"/>
        </w:rPr>
      </w:pPr>
      <w:hyperlink r:id="rId5" w:history="1">
        <w:r w:rsidR="008A6140" w:rsidRPr="00F22406">
          <w:rPr>
            <w:rStyle w:val="Hyperlink"/>
            <w:sz w:val="20"/>
            <w:szCs w:val="20"/>
            <w:lang w:val="fr-FR"/>
          </w:rPr>
          <w:t>www.adelante2.eu</w:t>
        </w:r>
      </w:hyperlink>
    </w:p>
    <w:p w14:paraId="0CEFD77B" w14:textId="77777777" w:rsidR="008A6140" w:rsidRPr="00F22406" w:rsidRDefault="008A6140" w:rsidP="008A6140">
      <w:pPr>
        <w:jc w:val="center"/>
        <w:rPr>
          <w:sz w:val="20"/>
          <w:szCs w:val="20"/>
          <w:lang w:val="fr-FR"/>
        </w:rPr>
      </w:pPr>
    </w:p>
    <w:p w14:paraId="682A422D" w14:textId="5A72C25C" w:rsidR="008A6140" w:rsidRPr="00262DB4" w:rsidRDefault="008A6140" w:rsidP="008A6140">
      <w:pPr>
        <w:jc w:val="center"/>
        <w:rPr>
          <w:b/>
          <w:color w:val="0C4DA2"/>
          <w:sz w:val="60"/>
          <w:szCs w:val="60"/>
          <w:lang w:val="en-GB"/>
        </w:rPr>
      </w:pPr>
      <w:r w:rsidRPr="00262DB4">
        <w:rPr>
          <w:b/>
          <w:color w:val="0C4DA2"/>
          <w:sz w:val="60"/>
          <w:szCs w:val="60"/>
          <w:lang w:val="en-GB"/>
        </w:rPr>
        <w:t>Pre</w:t>
      </w:r>
      <w:r w:rsidR="00262DB4" w:rsidRPr="00262DB4">
        <w:rPr>
          <w:b/>
          <w:color w:val="0C4DA2"/>
          <w:sz w:val="60"/>
          <w:szCs w:val="60"/>
          <w:lang w:val="en-GB"/>
        </w:rPr>
        <w:t>ss Release</w:t>
      </w:r>
    </w:p>
    <w:p w14:paraId="3839B6E7" w14:textId="3DE2B6CD" w:rsidR="008A6140" w:rsidRPr="00262DB4" w:rsidRDefault="00262DB4" w:rsidP="008A6140">
      <w:pPr>
        <w:jc w:val="center"/>
        <w:rPr>
          <w:rFonts w:cs="Times New Roman (Body CS)"/>
          <w:b/>
          <w:spacing w:val="20"/>
          <w:lang w:val="en-GB"/>
        </w:rPr>
      </w:pPr>
      <w:r w:rsidRPr="00262DB4">
        <w:rPr>
          <w:rFonts w:cs="Times New Roman (Body CS)"/>
          <w:b/>
          <w:spacing w:val="20"/>
          <w:lang w:val="en-GB"/>
        </w:rPr>
        <w:t>FOR IMMEDIATE RELEASE</w:t>
      </w:r>
    </w:p>
    <w:p w14:paraId="192A8DBE" w14:textId="77777777" w:rsidR="008A6140" w:rsidRPr="00262DB4" w:rsidRDefault="008A6140" w:rsidP="008A6140">
      <w:pPr>
        <w:pBdr>
          <w:bottom w:val="single" w:sz="4" w:space="1" w:color="auto"/>
        </w:pBdr>
        <w:jc w:val="center"/>
        <w:rPr>
          <w:b/>
          <w:sz w:val="20"/>
          <w:szCs w:val="20"/>
          <w:lang w:val="en-GB"/>
        </w:rPr>
      </w:pPr>
    </w:p>
    <w:p w14:paraId="525F9BAC" w14:textId="27AB8CFF" w:rsidR="008A6140" w:rsidRPr="00B92D4E" w:rsidRDefault="008A6140" w:rsidP="008A6140">
      <w:pPr>
        <w:rPr>
          <w:b/>
          <w:sz w:val="48"/>
          <w:szCs w:val="48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8"/>
      </w:tblGrid>
      <w:tr w:rsidR="008A6140" w:rsidRPr="00262DB4" w14:paraId="001FF1A2" w14:textId="77777777" w:rsidTr="00A40F66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14:paraId="38E3FA7D" w14:textId="77777777" w:rsidR="008A6140" w:rsidRPr="00262DB4" w:rsidRDefault="008A6140" w:rsidP="00A40F66">
            <w:pPr>
              <w:rPr>
                <w:lang w:val="en-GB"/>
              </w:rPr>
            </w:pPr>
          </w:p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8"/>
            </w:tblGrid>
            <w:tr w:rsidR="008A6140" w:rsidRPr="00262DB4" w14:paraId="4D1069E7" w14:textId="77777777" w:rsidTr="00A40F66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0CAD026F" w14:textId="0E0C28C7" w:rsidR="00B92D4E" w:rsidRPr="00B92D4E" w:rsidRDefault="00B92D4E" w:rsidP="00B92D4E">
                  <w:pPr>
                    <w:spacing w:before="10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B92D4E">
                    <w:rPr>
                      <w:b/>
                      <w:sz w:val="48"/>
                      <w:szCs w:val="48"/>
                      <w:lang w:val="en-GB"/>
                    </w:rPr>
                    <w:t>Webinar - The ADELANTE</w:t>
                  </w:r>
                  <w:r>
                    <w:rPr>
                      <w:b/>
                      <w:sz w:val="48"/>
                      <w:szCs w:val="48"/>
                      <w:lang w:val="en-GB"/>
                    </w:rPr>
                    <w:t xml:space="preserve"> </w:t>
                  </w:r>
                  <w:r w:rsidRPr="00B92D4E">
                    <w:rPr>
                      <w:b/>
                      <w:sz w:val="48"/>
                      <w:szCs w:val="48"/>
                      <w:lang w:val="en-GB"/>
                    </w:rPr>
                    <w:t xml:space="preserve">Triangular Cooperation </w:t>
                  </w:r>
                  <w:r>
                    <w:rPr>
                      <w:b/>
                      <w:sz w:val="48"/>
                      <w:szCs w:val="48"/>
                      <w:lang w:val="en-GB"/>
                    </w:rPr>
                    <w:t xml:space="preserve">Window </w:t>
                  </w:r>
                  <w:r w:rsidRPr="00B92D4E">
                    <w:rPr>
                      <w:b/>
                      <w:sz w:val="48"/>
                      <w:szCs w:val="48"/>
                      <w:lang w:val="en-GB"/>
                    </w:rPr>
                    <w:t>European Union - Latin America and the Caribbean - 2020-2024</w:t>
                  </w:r>
                </w:p>
                <w:p w14:paraId="64431292" w14:textId="77777777" w:rsidR="00B92D4E" w:rsidRPr="00B92D4E" w:rsidRDefault="00B92D4E" w:rsidP="00B92D4E">
                  <w:pPr>
                    <w:spacing w:before="100"/>
                    <w:rPr>
                      <w:sz w:val="20"/>
                      <w:szCs w:val="20"/>
                      <w:lang w:val="en-GB"/>
                    </w:rPr>
                  </w:pPr>
                </w:p>
                <w:p w14:paraId="7C2C585B" w14:textId="436B92CD" w:rsidR="00B92D4E" w:rsidRPr="00B92D4E" w:rsidRDefault="00B92D4E" w:rsidP="00B92D4E">
                  <w:pPr>
                    <w:rPr>
                      <w:b/>
                      <w:lang w:val="en-GB"/>
                    </w:rPr>
                  </w:pPr>
                  <w:r w:rsidRPr="00B92D4E">
                    <w:rPr>
                      <w:b/>
                      <w:lang w:val="en-GB"/>
                    </w:rPr>
                    <w:t>Brussels - 1</w:t>
                  </w:r>
                  <w:r w:rsidR="006A270F">
                    <w:rPr>
                      <w:b/>
                      <w:lang w:val="en-GB"/>
                    </w:rPr>
                    <w:t>1</w:t>
                  </w:r>
                  <w:bookmarkStart w:id="0" w:name="_GoBack"/>
                  <w:bookmarkEnd w:id="0"/>
                  <w:r w:rsidRPr="00B92D4E">
                    <w:rPr>
                      <w:b/>
                      <w:lang w:val="en-GB"/>
                    </w:rPr>
                    <w:t xml:space="preserve"> May 2021</w:t>
                  </w:r>
                </w:p>
                <w:p w14:paraId="4C469BC9" w14:textId="77777777" w:rsidR="00B92D4E" w:rsidRPr="00B92D4E" w:rsidRDefault="00B92D4E" w:rsidP="00B92D4E">
                  <w:pPr>
                    <w:spacing w:before="100"/>
                    <w:rPr>
                      <w:sz w:val="20"/>
                      <w:szCs w:val="20"/>
                      <w:lang w:val="en-GB"/>
                    </w:rPr>
                  </w:pPr>
                </w:p>
                <w:p w14:paraId="4BD34A42" w14:textId="579E99EE" w:rsidR="00B92D4E" w:rsidRPr="00B92D4E" w:rsidRDefault="00B92D4E" w:rsidP="00855CBD">
                  <w:pPr>
                    <w:spacing w:before="10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B92D4E">
                    <w:rPr>
                      <w:sz w:val="20"/>
                      <w:szCs w:val="20"/>
                      <w:lang w:val="en-GB"/>
                    </w:rPr>
                    <w:t xml:space="preserve">In the framework of </w:t>
                  </w:r>
                  <w:r w:rsidRPr="00B92D4E">
                    <w:rPr>
                      <w:b/>
                      <w:bCs/>
                      <w:sz w:val="20"/>
                      <w:szCs w:val="20"/>
                      <w:lang w:val="en-GB"/>
                    </w:rPr>
                    <w:t>ADELANTE 2</w:t>
                  </w:r>
                  <w:r w:rsidRPr="00B92D4E">
                    <w:rPr>
                      <w:sz w:val="20"/>
                      <w:szCs w:val="20"/>
                      <w:lang w:val="en-GB"/>
                    </w:rPr>
                    <w:t xml:space="preserve">, </w:t>
                  </w:r>
                  <w:r w:rsidR="00F22406">
                    <w:rPr>
                      <w:sz w:val="20"/>
                      <w:szCs w:val="20"/>
                      <w:lang w:val="en-GB"/>
                    </w:rPr>
                    <w:t>an</w:t>
                  </w:r>
                  <w:r w:rsidRPr="00B92D4E">
                    <w:rPr>
                      <w:sz w:val="20"/>
                      <w:szCs w:val="20"/>
                      <w:lang w:val="en-GB"/>
                    </w:rPr>
                    <w:t xml:space="preserve"> innovative Triangular Cooperation programme, the European Union presents the </w:t>
                  </w:r>
                  <w:r w:rsidRPr="00B92D4E">
                    <w:rPr>
                      <w:b/>
                      <w:bCs/>
                      <w:sz w:val="20"/>
                      <w:szCs w:val="20"/>
                      <w:lang w:val="en-GB"/>
                    </w:rPr>
                    <w:t>ADELANTE Triangular Cooperation</w:t>
                  </w: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Pr="00B92D4E">
                    <w:rPr>
                      <w:b/>
                      <w:bCs/>
                      <w:sz w:val="20"/>
                      <w:szCs w:val="20"/>
                      <w:lang w:val="en-GB"/>
                    </w:rPr>
                    <w:t>Window</w:t>
                  </w:r>
                  <w:r w:rsidRPr="00B92D4E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Pr="00B92D4E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European Union and Latin America and the Caribbean </w:t>
                  </w:r>
                  <w:r w:rsidR="00F22406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- </w:t>
                  </w:r>
                  <w:r w:rsidRPr="00B92D4E">
                    <w:rPr>
                      <w:b/>
                      <w:bCs/>
                      <w:sz w:val="20"/>
                      <w:szCs w:val="20"/>
                      <w:lang w:val="en-GB"/>
                    </w:rPr>
                    <w:t>2021 - 2024.</w:t>
                  </w:r>
                </w:p>
                <w:p w14:paraId="03D49076" w14:textId="549742FE" w:rsidR="00B92D4E" w:rsidRPr="00B92D4E" w:rsidRDefault="00B92D4E" w:rsidP="00855CBD">
                  <w:pPr>
                    <w:spacing w:before="10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B92D4E">
                    <w:rPr>
                      <w:sz w:val="20"/>
                      <w:szCs w:val="20"/>
                      <w:lang w:val="en-GB"/>
                    </w:rPr>
                    <w:t>With an indicative global budget of 5.000.000 euros allocated by the European Union, the ADELANTE Window is a funding instrument that seeks to mobilise and channel resources towards Triangular Cooperation Initiatives whose ultimate goal is the achievement of the 2030 Agenda and a more inclusive and sustainable development. These Initiatives will be implemented by partnerships or alliances between entities in Europe</w:t>
                  </w:r>
                  <w:r>
                    <w:rPr>
                      <w:sz w:val="20"/>
                      <w:szCs w:val="20"/>
                      <w:lang w:val="en-GB"/>
                    </w:rPr>
                    <w:t xml:space="preserve"> and</w:t>
                  </w:r>
                  <w:r w:rsidRPr="00B92D4E">
                    <w:rPr>
                      <w:sz w:val="20"/>
                      <w:szCs w:val="20"/>
                      <w:lang w:val="en-GB"/>
                    </w:rPr>
                    <w:t xml:space="preserve"> Latin America and the Caribbean that respond to the Triangular Cooperation modality. </w:t>
                  </w:r>
                </w:p>
                <w:p w14:paraId="554F8962" w14:textId="77777777" w:rsidR="00B92D4E" w:rsidRPr="00B92D4E" w:rsidRDefault="00B92D4E" w:rsidP="00855CBD">
                  <w:pPr>
                    <w:spacing w:before="10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B92D4E">
                    <w:rPr>
                      <w:sz w:val="20"/>
                      <w:szCs w:val="20"/>
                      <w:lang w:val="en-GB"/>
                    </w:rPr>
                    <w:t>The ADELANTE Window is a demand-driven instrument that aims to be agile and flexible, with a 'rapid response' approach.  It has an expected duration of four years, with the overall budget being articulated through calls or 'annual windows' over the years 2021, 2022, 2023 and 2024.</w:t>
                  </w:r>
                </w:p>
                <w:p w14:paraId="6756691D" w14:textId="25498FA6" w:rsidR="00B92D4E" w:rsidRPr="00B92D4E" w:rsidRDefault="00B92D4E" w:rsidP="00855CBD">
                  <w:pPr>
                    <w:spacing w:before="10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B92D4E">
                    <w:rPr>
                      <w:sz w:val="20"/>
                      <w:szCs w:val="20"/>
                      <w:lang w:val="en-GB"/>
                    </w:rPr>
                    <w:t xml:space="preserve">The first annual window, </w:t>
                  </w:r>
                  <w:r w:rsidRPr="00B92D4E">
                    <w:rPr>
                      <w:b/>
                      <w:bCs/>
                      <w:sz w:val="20"/>
                      <w:szCs w:val="20"/>
                      <w:lang w:val="en-GB"/>
                    </w:rPr>
                    <w:t>the ADELANTE Window 2021, has a budget of 1.000.000 euros and will open on Monday 24 May.</w:t>
                  </w:r>
                  <w:r w:rsidRPr="00B92D4E">
                    <w:rPr>
                      <w:sz w:val="20"/>
                      <w:szCs w:val="20"/>
                      <w:lang w:val="en-GB"/>
                    </w:rPr>
                    <w:t xml:space="preserve"> From that day on, Triangular Partnerships will be able to submit their proposals, or Triangular Cooperation Initiatives, through the ADELANTE Extranet.</w:t>
                  </w:r>
                </w:p>
                <w:p w14:paraId="790B68AE" w14:textId="3323E396" w:rsidR="00B92D4E" w:rsidRPr="00B92D4E" w:rsidRDefault="00934AFD" w:rsidP="00855CBD">
                  <w:pPr>
                    <w:spacing w:before="10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 xml:space="preserve">Thursday 20 May at 16:00 (Brussels): </w:t>
                  </w:r>
                  <w:r>
                    <w:rPr>
                      <w:sz w:val="20"/>
                      <w:szCs w:val="20"/>
                      <w:lang w:val="en-GB"/>
                    </w:rPr>
                    <w:t>d</w:t>
                  </w:r>
                  <w:r w:rsidR="00B92D4E" w:rsidRPr="00B92D4E">
                    <w:rPr>
                      <w:sz w:val="20"/>
                      <w:szCs w:val="20"/>
                      <w:lang w:val="en-GB"/>
                    </w:rPr>
                    <w:t xml:space="preserve">uring this webinar, the ADELANTE Window will be presented in detail. There will be an </w:t>
                  </w:r>
                  <w:r w:rsidR="00B92D4E" w:rsidRPr="00B92D4E">
                    <w:rPr>
                      <w:b/>
                      <w:bCs/>
                      <w:sz w:val="20"/>
                      <w:szCs w:val="20"/>
                      <w:lang w:val="en-GB"/>
                    </w:rPr>
                    <w:t>open question and answer session</w:t>
                  </w:r>
                  <w:r w:rsidR="00B92D4E" w:rsidRPr="00B92D4E">
                    <w:rPr>
                      <w:sz w:val="20"/>
                      <w:szCs w:val="20"/>
                      <w:lang w:val="en-GB"/>
                    </w:rPr>
                    <w:t xml:space="preserve"> available to all participants.</w:t>
                  </w:r>
                </w:p>
                <w:p w14:paraId="297CD6F8" w14:textId="3BC6820A" w:rsidR="00B92D4E" w:rsidRPr="00F22406" w:rsidRDefault="00B92D4E" w:rsidP="00855CBD">
                  <w:pPr>
                    <w:spacing w:before="10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F22406">
                    <w:rPr>
                      <w:b/>
                      <w:sz w:val="20"/>
                      <w:szCs w:val="20"/>
                      <w:lang w:val="en-GB"/>
                    </w:rPr>
                    <w:t>Register to participate in the webinar and to find out more about the ADELANTE Window:</w:t>
                  </w:r>
                </w:p>
                <w:p w14:paraId="7F327070" w14:textId="354FBB57" w:rsidR="00B92D4E" w:rsidRPr="00262DB4" w:rsidRDefault="006A270F" w:rsidP="00934AFD">
                  <w:pPr>
                    <w:rPr>
                      <w:sz w:val="20"/>
                      <w:szCs w:val="20"/>
                      <w:lang w:val="en-GB"/>
                    </w:rPr>
                  </w:pPr>
                  <w:hyperlink r:id="rId6" w:history="1">
                    <w:r w:rsidR="00B92D4E" w:rsidRPr="00262DB4">
                      <w:rPr>
                        <w:rStyle w:val="Hyperlink"/>
                        <w:sz w:val="20"/>
                        <w:szCs w:val="20"/>
                        <w:lang w:val="en-GB"/>
                      </w:rPr>
                      <w:t>https://www.adelante2.eu/webinario-ventana-ADELANTE.php</w:t>
                    </w:r>
                  </w:hyperlink>
                </w:p>
              </w:tc>
            </w:tr>
          </w:tbl>
          <w:p w14:paraId="09BBAE72" w14:textId="77777777" w:rsidR="008A6140" w:rsidRPr="00262DB4" w:rsidRDefault="008A6140" w:rsidP="00A40F66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4857964" w14:textId="77777777" w:rsidR="008A6140" w:rsidRPr="00262DB4" w:rsidRDefault="008A6140" w:rsidP="008A6140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Autospacing="0"/>
        <w:jc w:val="both"/>
        <w:rPr>
          <w:rFonts w:ascii="Open Sans" w:hAnsi="Open Sans" w:cs="Open Sans"/>
          <w:color w:val="000000"/>
          <w:sz w:val="21"/>
          <w:szCs w:val="21"/>
          <w:lang w:val="en-GB"/>
        </w:rPr>
      </w:pPr>
    </w:p>
    <w:p w14:paraId="6F8ECB3E" w14:textId="2A2A7EF3" w:rsidR="008A6140" w:rsidRPr="00262DB4" w:rsidRDefault="008A6140" w:rsidP="008A6140">
      <w:pPr>
        <w:jc w:val="center"/>
        <w:rPr>
          <w:b/>
          <w:sz w:val="22"/>
          <w:szCs w:val="22"/>
          <w:lang w:val="en-GB"/>
        </w:rPr>
      </w:pPr>
      <w:r w:rsidRPr="00262DB4">
        <w:rPr>
          <w:sz w:val="22"/>
          <w:szCs w:val="22"/>
          <w:lang w:val="en-GB"/>
        </w:rPr>
        <w:t xml:space="preserve">Hashtag: </w:t>
      </w:r>
      <w:r w:rsidRPr="00262DB4">
        <w:rPr>
          <w:b/>
          <w:sz w:val="22"/>
          <w:szCs w:val="22"/>
          <w:lang w:val="en-GB"/>
        </w:rPr>
        <w:t>#</w:t>
      </w:r>
      <w:proofErr w:type="spellStart"/>
      <w:r w:rsidRPr="00262DB4">
        <w:rPr>
          <w:b/>
          <w:sz w:val="22"/>
          <w:szCs w:val="22"/>
          <w:lang w:val="en-GB"/>
        </w:rPr>
        <w:t>Triangular</w:t>
      </w:r>
      <w:r w:rsidR="00F22406">
        <w:rPr>
          <w:b/>
          <w:sz w:val="22"/>
          <w:szCs w:val="22"/>
          <w:lang w:val="en-GB"/>
        </w:rPr>
        <w:t>Cooperation</w:t>
      </w:r>
      <w:proofErr w:type="spellEnd"/>
      <w:r w:rsidRPr="00262DB4">
        <w:rPr>
          <w:sz w:val="22"/>
          <w:szCs w:val="22"/>
          <w:lang w:val="en-GB"/>
        </w:rPr>
        <w:t xml:space="preserve"> | Facebook: </w:t>
      </w:r>
      <w:hyperlink r:id="rId7" w:history="1">
        <w:r w:rsidRPr="00262DB4">
          <w:rPr>
            <w:rStyle w:val="Hyperlink"/>
            <w:b/>
            <w:sz w:val="22"/>
            <w:szCs w:val="22"/>
            <w:lang w:val="en-GB"/>
          </w:rPr>
          <w:t>@ADELANTE.UE.ALC</w:t>
        </w:r>
      </w:hyperlink>
      <w:r w:rsidRPr="00262DB4">
        <w:rPr>
          <w:sz w:val="22"/>
          <w:szCs w:val="22"/>
          <w:lang w:val="en-GB"/>
        </w:rPr>
        <w:t xml:space="preserve"> | Twitter: </w:t>
      </w:r>
      <w:hyperlink r:id="rId8" w:history="1">
        <w:r w:rsidRPr="00262DB4">
          <w:rPr>
            <w:rStyle w:val="Hyperlink"/>
            <w:b/>
            <w:sz w:val="22"/>
            <w:szCs w:val="22"/>
            <w:lang w:val="en-GB"/>
          </w:rPr>
          <w:t>@ADELANTE-UE-ALC</w:t>
        </w:r>
      </w:hyperlink>
      <w:r w:rsidRPr="00262DB4">
        <w:rPr>
          <w:sz w:val="22"/>
          <w:szCs w:val="22"/>
          <w:lang w:val="en-GB"/>
        </w:rPr>
        <w:t xml:space="preserve"> | </w:t>
      </w:r>
      <w:hyperlink r:id="rId9" w:history="1">
        <w:r w:rsidRPr="00262DB4">
          <w:rPr>
            <w:rStyle w:val="Hyperlink"/>
            <w:b/>
            <w:sz w:val="22"/>
            <w:szCs w:val="22"/>
            <w:lang w:val="en-GB"/>
          </w:rPr>
          <w:t>http://www.adelante2.eu</w:t>
        </w:r>
      </w:hyperlink>
    </w:p>
    <w:p w14:paraId="5417F08D" w14:textId="77777777" w:rsidR="008A6140" w:rsidRPr="00262DB4" w:rsidRDefault="008A6140" w:rsidP="008A6140">
      <w:pPr>
        <w:rPr>
          <w:sz w:val="22"/>
          <w:szCs w:val="22"/>
          <w:lang w:val="en-GB"/>
        </w:rPr>
      </w:pPr>
    </w:p>
    <w:p w14:paraId="357421C6" w14:textId="6C4B8086" w:rsidR="008A6140" w:rsidRPr="00262DB4" w:rsidRDefault="00F22406" w:rsidP="008A6140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For more information, please contact</w:t>
      </w:r>
      <w:r w:rsidR="008A6140" w:rsidRPr="00262DB4">
        <w:rPr>
          <w:b/>
          <w:sz w:val="22"/>
          <w:szCs w:val="22"/>
          <w:lang w:val="en-GB"/>
        </w:rPr>
        <w:t xml:space="preserve">: </w:t>
      </w:r>
      <w:r w:rsidR="008A6140" w:rsidRPr="00262DB4">
        <w:rPr>
          <w:b/>
          <w:sz w:val="22"/>
          <w:szCs w:val="22"/>
          <w:lang w:val="en-GB"/>
        </w:rPr>
        <w:br/>
      </w:r>
      <w:r w:rsidR="008A6140" w:rsidRPr="00262DB4">
        <w:rPr>
          <w:sz w:val="22"/>
          <w:szCs w:val="22"/>
          <w:lang w:val="en-GB"/>
        </w:rPr>
        <w:t xml:space="preserve">Leticia </w:t>
      </w:r>
      <w:proofErr w:type="spellStart"/>
      <w:r w:rsidR="008A6140" w:rsidRPr="00262DB4">
        <w:rPr>
          <w:sz w:val="22"/>
          <w:szCs w:val="22"/>
          <w:lang w:val="en-GB"/>
        </w:rPr>
        <w:t>Casañ</w:t>
      </w:r>
      <w:proofErr w:type="spellEnd"/>
      <w:r w:rsidR="008A6140" w:rsidRPr="00262DB4">
        <w:rPr>
          <w:sz w:val="22"/>
          <w:szCs w:val="22"/>
          <w:lang w:val="en-GB"/>
        </w:rPr>
        <w:t xml:space="preserve"> Jensen | </w:t>
      </w:r>
      <w:r w:rsidR="00C573B2" w:rsidRPr="00A66244">
        <w:rPr>
          <w:sz w:val="22"/>
          <w:szCs w:val="22"/>
        </w:rPr>
        <w:t>Tel</w:t>
      </w:r>
      <w:r w:rsidR="00C573B2">
        <w:rPr>
          <w:sz w:val="22"/>
          <w:szCs w:val="22"/>
        </w:rPr>
        <w:t>.</w:t>
      </w:r>
      <w:r w:rsidR="00C573B2" w:rsidRPr="00A66244">
        <w:rPr>
          <w:sz w:val="22"/>
          <w:szCs w:val="22"/>
        </w:rPr>
        <w:t>: +32 229 68498</w:t>
      </w:r>
      <w:r w:rsidR="00C573B2">
        <w:rPr>
          <w:sz w:val="22"/>
          <w:szCs w:val="22"/>
        </w:rPr>
        <w:t xml:space="preserve"> </w:t>
      </w:r>
      <w:r w:rsidR="008A6140" w:rsidRPr="00262DB4">
        <w:rPr>
          <w:sz w:val="22"/>
          <w:szCs w:val="22"/>
          <w:lang w:val="en-GB"/>
        </w:rPr>
        <w:t>| Leticia.CASAN-JENSEN@ec.europa.eu</w:t>
      </w:r>
    </w:p>
    <w:p w14:paraId="43406685" w14:textId="77777777" w:rsidR="008A6140" w:rsidRPr="00262DB4" w:rsidRDefault="008A6140" w:rsidP="008A6140">
      <w:pPr>
        <w:rPr>
          <w:lang w:val="en-GB"/>
        </w:rPr>
      </w:pPr>
    </w:p>
    <w:p w14:paraId="2F9D8904" w14:textId="77777777" w:rsidR="00EA741D" w:rsidRPr="00262DB4" w:rsidRDefault="00EA741D">
      <w:pPr>
        <w:rPr>
          <w:lang w:val="en-GB"/>
        </w:rPr>
      </w:pPr>
    </w:p>
    <w:sectPr w:rsidR="00EA741D" w:rsidRPr="00262DB4" w:rsidSect="00CC646D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000000000000000"/>
    <w:charset w:val="00"/>
    <w:family w:val="roman"/>
    <w:pitch w:val="variable"/>
    <w:sig w:usb0="20002A87" w:usb1="80000000" w:usb2="00000008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40"/>
    <w:rsid w:val="00081B3E"/>
    <w:rsid w:val="00262DB4"/>
    <w:rsid w:val="00514883"/>
    <w:rsid w:val="006A270F"/>
    <w:rsid w:val="00855CBD"/>
    <w:rsid w:val="008A6140"/>
    <w:rsid w:val="008C4CE9"/>
    <w:rsid w:val="00934AFD"/>
    <w:rsid w:val="009B34D5"/>
    <w:rsid w:val="00B92D4E"/>
    <w:rsid w:val="00C573B2"/>
    <w:rsid w:val="00CA4551"/>
    <w:rsid w:val="00E73660"/>
    <w:rsid w:val="00EA741D"/>
    <w:rsid w:val="00F2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A64CB"/>
  <w14:defaultImageDpi w14:val="32767"/>
  <w15:chartTrackingRefBased/>
  <w15:docId w15:val="{9FC4D09F-94A0-B14C-A227-9507B369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6140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1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A61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B3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DELANTE_UE_AL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DELANTE.UE.AL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elante2.eu/webinario-ventana-ADELANTE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elante2.e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adelante2.eu/e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Hicham Boughdadi</dc:creator>
  <cp:keywords/>
  <dc:description/>
  <cp:lastModifiedBy>Hicham Boughdadi</cp:lastModifiedBy>
  <cp:revision>5</cp:revision>
  <dcterms:created xsi:type="dcterms:W3CDTF">2021-05-10T03:18:00Z</dcterms:created>
  <dcterms:modified xsi:type="dcterms:W3CDTF">2021-05-10T08:40:00Z</dcterms:modified>
</cp:coreProperties>
</file>