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1AB1" w14:textId="77777777" w:rsidR="008A6140" w:rsidRPr="00262DB4" w:rsidRDefault="008A6140" w:rsidP="008A6140">
      <w:pPr>
        <w:ind w:left="720" w:hanging="360"/>
        <w:jc w:val="center"/>
        <w:rPr>
          <w:lang w:val="en-GB"/>
        </w:rPr>
      </w:pPr>
      <w:r w:rsidRPr="00262DB4">
        <w:rPr>
          <w:noProof/>
          <w:lang w:val="en-GB"/>
        </w:rPr>
        <w:drawing>
          <wp:inline distT="0" distB="0" distL="0" distR="0" wp14:anchorId="18A9E1FF" wp14:editId="25B24028">
            <wp:extent cx="3297039" cy="53552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2-ES.png"/>
                    <pic:cNvPicPr/>
                  </pic:nvPicPr>
                  <pic:blipFill>
                    <a:blip r:embed="rId5">
                      <a:extLst>
                        <a:ext uri="{28A0092B-C50C-407E-A947-70E740481C1C}">
                          <a14:useLocalDpi xmlns:a14="http://schemas.microsoft.com/office/drawing/2010/main" val="0"/>
                        </a:ext>
                      </a:extLst>
                    </a:blip>
                    <a:stretch>
                      <a:fillRect/>
                    </a:stretch>
                  </pic:blipFill>
                  <pic:spPr>
                    <a:xfrm>
                      <a:off x="0" y="0"/>
                      <a:ext cx="3297039" cy="535527"/>
                    </a:xfrm>
                    <a:prstGeom prst="rect">
                      <a:avLst/>
                    </a:prstGeom>
                  </pic:spPr>
                </pic:pic>
              </a:graphicData>
            </a:graphic>
          </wp:inline>
        </w:drawing>
      </w:r>
    </w:p>
    <w:p w14:paraId="2FE0C70D" w14:textId="77777777" w:rsidR="008A6140" w:rsidRPr="00262DB4" w:rsidRDefault="008A6140" w:rsidP="008A6140">
      <w:pPr>
        <w:ind w:left="360"/>
        <w:jc w:val="center"/>
        <w:rPr>
          <w:sz w:val="20"/>
          <w:szCs w:val="20"/>
          <w:lang w:val="en-GB"/>
        </w:rPr>
      </w:pPr>
    </w:p>
    <w:p w14:paraId="682A422D" w14:textId="5A72C25C" w:rsidR="008A6140" w:rsidRPr="00871C7D" w:rsidRDefault="008A6140" w:rsidP="00871C7D">
      <w:pPr>
        <w:tabs>
          <w:tab w:val="left" w:pos="4111"/>
        </w:tabs>
        <w:spacing w:before="120"/>
        <w:jc w:val="center"/>
        <w:rPr>
          <w:b/>
          <w:color w:val="0C4DA2"/>
          <w:sz w:val="48"/>
          <w:szCs w:val="48"/>
          <w:lang w:val="en-GB"/>
        </w:rPr>
      </w:pPr>
      <w:r w:rsidRPr="00871C7D">
        <w:rPr>
          <w:b/>
          <w:color w:val="0C4DA2"/>
          <w:sz w:val="48"/>
          <w:szCs w:val="48"/>
          <w:lang w:val="en-GB"/>
        </w:rPr>
        <w:t>Pre</w:t>
      </w:r>
      <w:r w:rsidR="00262DB4" w:rsidRPr="00871C7D">
        <w:rPr>
          <w:b/>
          <w:color w:val="0C4DA2"/>
          <w:sz w:val="48"/>
          <w:szCs w:val="48"/>
          <w:lang w:val="en-GB"/>
        </w:rPr>
        <w:t>ss Release</w:t>
      </w:r>
    </w:p>
    <w:tbl>
      <w:tblPr>
        <w:tblW w:w="5000" w:type="pct"/>
        <w:tblCellMar>
          <w:left w:w="0" w:type="dxa"/>
          <w:right w:w="0" w:type="dxa"/>
        </w:tblCellMar>
        <w:tblLook w:val="04A0" w:firstRow="1" w:lastRow="0" w:firstColumn="1" w:lastColumn="0" w:noHBand="0" w:noVBand="1"/>
      </w:tblPr>
      <w:tblGrid>
        <w:gridCol w:w="10538"/>
      </w:tblGrid>
      <w:tr w:rsidR="008A6140" w:rsidRPr="00871C7D" w14:paraId="001FF1A2" w14:textId="77777777" w:rsidTr="00A40F66">
        <w:tc>
          <w:tcPr>
            <w:tcW w:w="0" w:type="auto"/>
            <w:tcMar>
              <w:top w:w="135" w:type="dxa"/>
              <w:left w:w="0" w:type="dxa"/>
              <w:bottom w:w="0" w:type="dxa"/>
              <w:right w:w="0" w:type="dxa"/>
            </w:tcMar>
            <w:hideMark/>
          </w:tcPr>
          <w:p w14:paraId="2B91DDC9" w14:textId="43BFCB53" w:rsidR="00871C7D" w:rsidRPr="00871C7D" w:rsidRDefault="00871C7D" w:rsidP="00871C7D">
            <w:pPr>
              <w:spacing w:before="120"/>
              <w:jc w:val="center"/>
              <w:rPr>
                <w:b/>
                <w:lang w:val="en-GB"/>
              </w:rPr>
            </w:pPr>
            <w:r w:rsidRPr="00871C7D">
              <w:rPr>
                <w:b/>
                <w:lang w:val="en-GB"/>
              </w:rPr>
              <w:t xml:space="preserve">Brussels </w:t>
            </w:r>
            <w:r w:rsidR="005629B6">
              <w:rPr>
                <w:b/>
                <w:lang w:val="en-GB"/>
              </w:rPr>
              <w:t>-</w:t>
            </w:r>
            <w:r w:rsidRPr="00871C7D">
              <w:rPr>
                <w:b/>
                <w:lang w:val="en-GB"/>
              </w:rPr>
              <w:t xml:space="preserve"> </w:t>
            </w:r>
            <w:r w:rsidR="005629B6">
              <w:rPr>
                <w:b/>
                <w:lang w:val="en-GB"/>
              </w:rPr>
              <w:t>14</w:t>
            </w:r>
            <w:r w:rsidRPr="00871C7D">
              <w:rPr>
                <w:b/>
                <w:lang w:val="en-GB"/>
              </w:rPr>
              <w:t xml:space="preserve"> April 202</w:t>
            </w:r>
            <w:r w:rsidR="005629B6">
              <w:rPr>
                <w:b/>
                <w:lang w:val="en-GB"/>
              </w:rPr>
              <w:t>3</w:t>
            </w:r>
          </w:p>
          <w:tbl>
            <w:tblPr>
              <w:tblpPr w:leftFromText="45" w:rightFromText="45" w:vertAnchor="text"/>
              <w:tblW w:w="5000" w:type="pct"/>
              <w:tblCellMar>
                <w:left w:w="0" w:type="dxa"/>
                <w:right w:w="0" w:type="dxa"/>
              </w:tblCellMar>
              <w:tblLook w:val="04A0" w:firstRow="1" w:lastRow="0" w:firstColumn="1" w:lastColumn="0" w:noHBand="0" w:noVBand="1"/>
            </w:tblPr>
            <w:tblGrid>
              <w:gridCol w:w="10538"/>
            </w:tblGrid>
            <w:tr w:rsidR="008A6140" w:rsidRPr="00871C7D" w14:paraId="4D1069E7" w14:textId="77777777" w:rsidTr="00871C7D">
              <w:trPr>
                <w:trHeight w:val="10629"/>
              </w:trPr>
              <w:tc>
                <w:tcPr>
                  <w:tcW w:w="0" w:type="auto"/>
                  <w:tcMar>
                    <w:top w:w="0" w:type="dxa"/>
                    <w:left w:w="270" w:type="dxa"/>
                    <w:bottom w:w="135" w:type="dxa"/>
                    <w:right w:w="270" w:type="dxa"/>
                  </w:tcMar>
                </w:tcPr>
                <w:p w14:paraId="0C4796C1" w14:textId="3FADFD15" w:rsidR="005629B6" w:rsidRPr="005629B6" w:rsidRDefault="005629B6" w:rsidP="005629B6">
                  <w:pPr>
                    <w:spacing w:before="120"/>
                    <w:jc w:val="center"/>
                    <w:rPr>
                      <w:b/>
                      <w:sz w:val="48"/>
                      <w:szCs w:val="48"/>
                      <w:lang w:val="en-GB"/>
                    </w:rPr>
                  </w:pPr>
                  <w:r w:rsidRPr="005629B6">
                    <w:rPr>
                      <w:b/>
                      <w:sz w:val="48"/>
                      <w:szCs w:val="48"/>
                      <w:lang w:val="en-GB"/>
                    </w:rPr>
                    <w:t xml:space="preserve">ADELANTE </w:t>
                  </w:r>
                  <w:r w:rsidRPr="005629B6">
                    <w:rPr>
                      <w:b/>
                      <w:sz w:val="48"/>
                      <w:szCs w:val="48"/>
                      <w:lang w:val="en-GB"/>
                    </w:rPr>
                    <w:t xml:space="preserve">Window </w:t>
                  </w:r>
                  <w:r w:rsidRPr="005629B6">
                    <w:rPr>
                      <w:b/>
                      <w:sz w:val="48"/>
                      <w:szCs w:val="48"/>
                      <w:lang w:val="en-GB"/>
                    </w:rPr>
                    <w:t xml:space="preserve">2023 </w:t>
                  </w:r>
                  <w:r w:rsidRPr="005629B6">
                    <w:rPr>
                      <w:b/>
                      <w:sz w:val="48"/>
                      <w:szCs w:val="48"/>
                      <w:lang w:val="en-GB"/>
                    </w:rPr>
                    <w:t xml:space="preserve">opening </w:t>
                  </w:r>
                  <w:r w:rsidRPr="005629B6">
                    <w:rPr>
                      <w:b/>
                      <w:sz w:val="48"/>
                      <w:szCs w:val="48"/>
                      <w:lang w:val="en-GB"/>
                    </w:rPr>
                    <w:t xml:space="preserve">- 18 </w:t>
                  </w:r>
                  <w:r w:rsidRPr="005629B6">
                    <w:rPr>
                      <w:b/>
                      <w:sz w:val="48"/>
                      <w:szCs w:val="48"/>
                      <w:lang w:val="en-GB"/>
                    </w:rPr>
                    <w:t>Ap</w:t>
                  </w:r>
                  <w:r w:rsidRPr="005629B6">
                    <w:rPr>
                      <w:b/>
                      <w:sz w:val="48"/>
                      <w:szCs w:val="48"/>
                      <w:lang w:val="en-GB"/>
                    </w:rPr>
                    <w:t>ril</w:t>
                  </w:r>
                </w:p>
                <w:p w14:paraId="3C5AC8D5" w14:textId="1341A507" w:rsidR="00871C7D" w:rsidRDefault="00871C7D" w:rsidP="00871C7D">
                  <w:pPr>
                    <w:shd w:val="clear" w:color="auto" w:fill="FFFFFF"/>
                    <w:spacing w:before="120" w:line="300" w:lineRule="atLeast"/>
                    <w:jc w:val="center"/>
                    <w:rPr>
                      <w:rFonts w:ascii="Open Sans" w:eastAsia="Times New Roman" w:hAnsi="Open Sans" w:cs="Open Sans"/>
                      <w:b/>
                      <w:bCs/>
                      <w:color w:val="7C8F9C"/>
                      <w:sz w:val="28"/>
                      <w:szCs w:val="28"/>
                      <w:lang w:val="en-GB" w:eastAsia="es-ES"/>
                    </w:rPr>
                  </w:pPr>
                  <w:bookmarkStart w:id="0" w:name="_GoBack"/>
                  <w:bookmarkEnd w:id="0"/>
                  <w:r w:rsidRPr="00871C7D">
                    <w:rPr>
                      <w:rFonts w:ascii="Open Sans" w:eastAsia="Times New Roman" w:hAnsi="Open Sans" w:cs="Open Sans"/>
                      <w:b/>
                      <w:bCs/>
                      <w:color w:val="7C8F9C"/>
                      <w:sz w:val="28"/>
                      <w:szCs w:val="28"/>
                      <w:lang w:val="en-GB" w:eastAsia="es-ES"/>
                    </w:rPr>
                    <w:t xml:space="preserve">ADELANTE 2 announces that the opening of </w:t>
                  </w:r>
                  <w:r w:rsidR="005629B6">
                    <w:rPr>
                      <w:rFonts w:ascii="Open Sans" w:eastAsia="Times New Roman" w:hAnsi="Open Sans" w:cs="Open Sans"/>
                      <w:b/>
                      <w:bCs/>
                      <w:color w:val="7C8F9C"/>
                      <w:sz w:val="28"/>
                      <w:szCs w:val="28"/>
                      <w:lang w:val="en-GB" w:eastAsia="es-ES"/>
                    </w:rPr>
                    <w:br/>
                  </w:r>
                  <w:r w:rsidRPr="00871C7D">
                    <w:rPr>
                      <w:rFonts w:ascii="Open Sans" w:eastAsia="Times New Roman" w:hAnsi="Open Sans" w:cs="Open Sans"/>
                      <w:b/>
                      <w:bCs/>
                      <w:color w:val="7C8F9C"/>
                      <w:sz w:val="28"/>
                      <w:szCs w:val="28"/>
                      <w:lang w:val="en-GB" w:eastAsia="es-ES"/>
                    </w:rPr>
                    <w:t>the ADELANTE Window 202</w:t>
                  </w:r>
                  <w:r w:rsidR="005629B6">
                    <w:rPr>
                      <w:rFonts w:ascii="Open Sans" w:eastAsia="Times New Roman" w:hAnsi="Open Sans" w:cs="Open Sans"/>
                      <w:b/>
                      <w:bCs/>
                      <w:color w:val="7C8F9C"/>
                      <w:sz w:val="28"/>
                      <w:szCs w:val="28"/>
                      <w:lang w:val="en-GB" w:eastAsia="es-ES"/>
                    </w:rPr>
                    <w:t>3</w:t>
                  </w:r>
                  <w:r w:rsidRPr="00871C7D">
                    <w:rPr>
                      <w:rFonts w:ascii="Open Sans" w:eastAsia="Times New Roman" w:hAnsi="Open Sans" w:cs="Open Sans"/>
                      <w:b/>
                      <w:bCs/>
                      <w:color w:val="7C8F9C"/>
                      <w:sz w:val="28"/>
                      <w:szCs w:val="28"/>
                      <w:lang w:val="en-GB" w:eastAsia="es-ES"/>
                    </w:rPr>
                    <w:t xml:space="preserve">, with a budget of EUR </w:t>
                  </w:r>
                  <w:r w:rsidR="005629B6">
                    <w:rPr>
                      <w:rFonts w:ascii="Open Sans" w:eastAsia="Times New Roman" w:hAnsi="Open Sans" w:cs="Open Sans"/>
                      <w:b/>
                      <w:bCs/>
                      <w:color w:val="7C8F9C"/>
                      <w:sz w:val="28"/>
                      <w:szCs w:val="28"/>
                      <w:lang w:val="en-GB" w:eastAsia="es-ES"/>
                    </w:rPr>
                    <w:t>2</w:t>
                  </w:r>
                  <w:r w:rsidRPr="00871C7D">
                    <w:rPr>
                      <w:rFonts w:ascii="Open Sans" w:eastAsia="Times New Roman" w:hAnsi="Open Sans" w:cs="Open Sans"/>
                      <w:b/>
                      <w:bCs/>
                      <w:color w:val="7C8F9C"/>
                      <w:sz w:val="28"/>
                      <w:szCs w:val="28"/>
                      <w:lang w:val="en-GB" w:eastAsia="es-ES"/>
                    </w:rPr>
                    <w:t>,</w:t>
                  </w:r>
                  <w:r w:rsidR="005629B6">
                    <w:rPr>
                      <w:rFonts w:ascii="Open Sans" w:eastAsia="Times New Roman" w:hAnsi="Open Sans" w:cs="Open Sans"/>
                      <w:b/>
                      <w:bCs/>
                      <w:color w:val="7C8F9C"/>
                      <w:sz w:val="28"/>
                      <w:szCs w:val="28"/>
                      <w:lang w:val="en-GB" w:eastAsia="es-ES"/>
                    </w:rPr>
                    <w:t>0</w:t>
                  </w:r>
                  <w:r w:rsidRPr="00871C7D">
                    <w:rPr>
                      <w:rFonts w:ascii="Open Sans" w:eastAsia="Times New Roman" w:hAnsi="Open Sans" w:cs="Open Sans"/>
                      <w:b/>
                      <w:bCs/>
                      <w:color w:val="7C8F9C"/>
                      <w:sz w:val="28"/>
                      <w:szCs w:val="28"/>
                      <w:lang w:val="en-GB" w:eastAsia="es-ES"/>
                    </w:rPr>
                    <w:t xml:space="preserve">00,000, </w:t>
                  </w:r>
                  <w:r w:rsidR="005629B6">
                    <w:rPr>
                      <w:rFonts w:ascii="Open Sans" w:eastAsia="Times New Roman" w:hAnsi="Open Sans" w:cs="Open Sans"/>
                      <w:b/>
                      <w:bCs/>
                      <w:color w:val="7C8F9C"/>
                      <w:sz w:val="28"/>
                      <w:szCs w:val="28"/>
                      <w:lang w:val="en-GB" w:eastAsia="es-ES"/>
                    </w:rPr>
                    <w:br/>
                  </w:r>
                  <w:r w:rsidRPr="00871C7D">
                    <w:rPr>
                      <w:rFonts w:ascii="Open Sans" w:eastAsia="Times New Roman" w:hAnsi="Open Sans" w:cs="Open Sans"/>
                      <w:b/>
                      <w:bCs/>
                      <w:color w:val="7C8F9C"/>
                      <w:sz w:val="28"/>
                      <w:szCs w:val="28"/>
                      <w:lang w:val="en-GB" w:eastAsia="es-ES"/>
                    </w:rPr>
                    <w:t xml:space="preserve">will take place on Tuesday, April </w:t>
                  </w:r>
                  <w:r w:rsidR="005629B6">
                    <w:rPr>
                      <w:rFonts w:ascii="Open Sans" w:eastAsia="Times New Roman" w:hAnsi="Open Sans" w:cs="Open Sans"/>
                      <w:b/>
                      <w:bCs/>
                      <w:color w:val="7C8F9C"/>
                      <w:sz w:val="28"/>
                      <w:szCs w:val="28"/>
                      <w:lang w:val="en-GB" w:eastAsia="es-ES"/>
                    </w:rPr>
                    <w:t>18</w:t>
                  </w:r>
                  <w:r w:rsidRPr="005629B6">
                    <w:rPr>
                      <w:rFonts w:ascii="Open Sans" w:eastAsia="Times New Roman" w:hAnsi="Open Sans" w:cs="Open Sans"/>
                      <w:b/>
                      <w:bCs/>
                      <w:color w:val="7C8F9C"/>
                      <w:sz w:val="28"/>
                      <w:szCs w:val="28"/>
                      <w:vertAlign w:val="superscript"/>
                      <w:lang w:val="en-GB" w:eastAsia="es-ES"/>
                    </w:rPr>
                    <w:t>th</w:t>
                  </w:r>
                  <w:r w:rsidRPr="00871C7D">
                    <w:rPr>
                      <w:rFonts w:ascii="Open Sans" w:eastAsia="Times New Roman" w:hAnsi="Open Sans" w:cs="Open Sans"/>
                      <w:b/>
                      <w:bCs/>
                      <w:color w:val="7C8F9C"/>
                      <w:sz w:val="28"/>
                      <w:szCs w:val="28"/>
                      <w:lang w:val="en-GB" w:eastAsia="es-ES"/>
                    </w:rPr>
                    <w:t xml:space="preserve"> at 16.00h (Brussels time).</w:t>
                  </w:r>
                </w:p>
                <w:p w14:paraId="01D770F8" w14:textId="569615B8" w:rsidR="00871C7D" w:rsidRPr="00871C7D" w:rsidRDefault="00871C7D" w:rsidP="00871C7D">
                  <w:pPr>
                    <w:shd w:val="clear" w:color="auto" w:fill="FFFFFF"/>
                    <w:spacing w:before="120" w:line="300" w:lineRule="atLeast"/>
                    <w:jc w:val="both"/>
                    <w:rPr>
                      <w:rFonts w:ascii="Open Sans" w:eastAsia="Times New Roman" w:hAnsi="Open Sans" w:cs="Open Sans"/>
                      <w:color w:val="7C8F9C"/>
                      <w:sz w:val="21"/>
                      <w:szCs w:val="21"/>
                      <w:lang w:val="en-GB" w:eastAsia="es-ES"/>
                    </w:rPr>
                  </w:pPr>
                  <w:r w:rsidRPr="00871C7D">
                    <w:rPr>
                      <w:rFonts w:ascii="Open Sans" w:eastAsia="Times New Roman" w:hAnsi="Open Sans" w:cs="Open Sans"/>
                      <w:color w:val="7C8F9C"/>
                      <w:sz w:val="21"/>
                      <w:szCs w:val="21"/>
                      <w:lang w:val="en-GB" w:eastAsia="es-ES"/>
                    </w:rPr>
                    <w:t>Following the success of the</w:t>
                  </w:r>
                  <w:r w:rsidR="005629B6">
                    <w:rPr>
                      <w:rFonts w:ascii="Open Sans" w:eastAsia="Times New Roman" w:hAnsi="Open Sans" w:cs="Open Sans"/>
                      <w:color w:val="7C8F9C"/>
                      <w:sz w:val="21"/>
                      <w:szCs w:val="21"/>
                      <w:lang w:val="en-GB" w:eastAsia="es-ES"/>
                    </w:rPr>
                    <w:t xml:space="preserve"> 2021 and 2022 editions of the </w:t>
                  </w:r>
                  <w:hyperlink r:id="rId6" w:tgtFrame="_blank" w:history="1">
                    <w:r w:rsidR="005629B6">
                      <w:rPr>
                        <w:rFonts w:ascii="Open Sans" w:eastAsia="Times New Roman" w:hAnsi="Open Sans" w:cs="Open Sans"/>
                        <w:color w:val="7C8F9C"/>
                        <w:sz w:val="21"/>
                        <w:szCs w:val="21"/>
                        <w:u w:val="single"/>
                        <w:lang w:val="en-GB" w:eastAsia="es-ES"/>
                      </w:rPr>
                      <w:t>ADELANTE Window</w:t>
                    </w:r>
                  </w:hyperlink>
                  <w:r w:rsidRPr="00871C7D">
                    <w:rPr>
                      <w:rFonts w:ascii="Open Sans" w:eastAsia="Times New Roman" w:hAnsi="Open Sans" w:cs="Open Sans"/>
                      <w:color w:val="7C8F9C"/>
                      <w:sz w:val="21"/>
                      <w:szCs w:val="21"/>
                      <w:lang w:val="en-GB" w:eastAsia="es-ES"/>
                    </w:rPr>
                    <w:t>,</w:t>
                  </w:r>
                  <w:r w:rsidR="005629B6">
                    <w:rPr>
                      <w:rFonts w:ascii="Open Sans" w:eastAsia="Times New Roman" w:hAnsi="Open Sans" w:cs="Open Sans"/>
                      <w:color w:val="7C8F9C"/>
                      <w:sz w:val="21"/>
                      <w:szCs w:val="21"/>
                      <w:lang w:val="en-GB" w:eastAsia="es-ES"/>
                    </w:rPr>
                    <w:t xml:space="preserve"> </w:t>
                  </w:r>
                  <w:r w:rsidRPr="00871C7D">
                    <w:rPr>
                      <w:rFonts w:ascii="Open Sans" w:eastAsia="Times New Roman" w:hAnsi="Open Sans" w:cs="Open Sans"/>
                      <w:color w:val="7C8F9C"/>
                      <w:sz w:val="21"/>
                      <w:szCs w:val="21"/>
                      <w:lang w:val="en-GB" w:eastAsia="es-ES"/>
                    </w:rPr>
                    <w:t>the European Union remains committed to Triangular Cooperation between Europe and Latin America and the Caribbean, and is providing this new opportunity for Triangular Cooperation Partnerships to present Initiatives for co-financing through the ADELANTE Window.</w:t>
                  </w:r>
                </w:p>
                <w:p w14:paraId="4115888D" w14:textId="0B3A7C2A" w:rsidR="00871C7D" w:rsidRPr="00871C7D" w:rsidRDefault="00871C7D" w:rsidP="00871C7D">
                  <w:pPr>
                    <w:shd w:val="clear" w:color="auto" w:fill="FFFFFF"/>
                    <w:spacing w:before="120" w:line="300" w:lineRule="atLeast"/>
                    <w:jc w:val="both"/>
                    <w:rPr>
                      <w:rFonts w:ascii="Open Sans" w:eastAsia="Times New Roman" w:hAnsi="Open Sans" w:cs="Open Sans"/>
                      <w:color w:val="7C8F9C"/>
                      <w:sz w:val="21"/>
                      <w:szCs w:val="21"/>
                      <w:lang w:val="en-GB" w:eastAsia="es-ES"/>
                    </w:rPr>
                  </w:pPr>
                  <w:r w:rsidRPr="00871C7D">
                    <w:rPr>
                      <w:rFonts w:ascii="Open Sans" w:eastAsia="Times New Roman" w:hAnsi="Open Sans" w:cs="Open Sans"/>
                      <w:color w:val="7C8F9C"/>
                      <w:sz w:val="21"/>
                      <w:szCs w:val="21"/>
                      <w:lang w:val="en-GB" w:eastAsia="es-ES"/>
                    </w:rPr>
                    <w:t xml:space="preserve">The key new features compared to the previous edition include </w:t>
                  </w:r>
                  <w:r w:rsidRPr="00871C7D">
                    <w:rPr>
                      <w:rFonts w:ascii="Open Sans" w:eastAsia="Times New Roman" w:hAnsi="Open Sans" w:cs="Open Sans"/>
                      <w:b/>
                      <w:bCs/>
                      <w:color w:val="7C8F9C"/>
                      <w:sz w:val="21"/>
                      <w:szCs w:val="21"/>
                      <w:lang w:val="en-GB" w:eastAsia="es-ES"/>
                    </w:rPr>
                    <w:t>the possibility of extending the implementation period of the Initiatives</w:t>
                  </w:r>
                  <w:r w:rsidR="005629B6">
                    <w:rPr>
                      <w:rFonts w:ascii="Open Sans" w:eastAsia="Times New Roman" w:hAnsi="Open Sans" w:cs="Open Sans"/>
                      <w:b/>
                      <w:bCs/>
                      <w:color w:val="7C8F9C"/>
                      <w:sz w:val="21"/>
                      <w:szCs w:val="21"/>
                      <w:lang w:val="en-GB" w:eastAsia="es-ES"/>
                    </w:rPr>
                    <w:t xml:space="preserve"> </w:t>
                  </w:r>
                  <w:r w:rsidRPr="00871C7D">
                    <w:rPr>
                      <w:rFonts w:ascii="Open Sans" w:eastAsia="Times New Roman" w:hAnsi="Open Sans" w:cs="Open Sans"/>
                      <w:b/>
                      <w:bCs/>
                      <w:color w:val="7C8F9C"/>
                      <w:sz w:val="21"/>
                      <w:szCs w:val="21"/>
                      <w:lang w:val="en-GB" w:eastAsia="es-ES"/>
                    </w:rPr>
                    <w:t xml:space="preserve">up to </w:t>
                  </w:r>
                  <w:r w:rsidR="005629B6">
                    <w:rPr>
                      <w:rFonts w:ascii="Open Sans" w:eastAsia="Times New Roman" w:hAnsi="Open Sans" w:cs="Open Sans"/>
                      <w:b/>
                      <w:bCs/>
                      <w:color w:val="7C8F9C"/>
                      <w:sz w:val="21"/>
                      <w:szCs w:val="21"/>
                      <w:lang w:val="en-GB" w:eastAsia="es-ES"/>
                    </w:rPr>
                    <w:t>9</w:t>
                  </w:r>
                  <w:r w:rsidRPr="00871C7D">
                    <w:rPr>
                      <w:rFonts w:ascii="Open Sans" w:eastAsia="Times New Roman" w:hAnsi="Open Sans" w:cs="Open Sans"/>
                      <w:b/>
                      <w:bCs/>
                      <w:color w:val="7C8F9C"/>
                      <w:sz w:val="21"/>
                      <w:szCs w:val="21"/>
                      <w:lang w:val="en-GB" w:eastAsia="es-ES"/>
                    </w:rPr>
                    <w:t xml:space="preserve"> months</w:t>
                  </w:r>
                  <w:r w:rsidR="005629B6">
                    <w:rPr>
                      <w:rFonts w:ascii="Open Sans" w:eastAsia="Times New Roman" w:hAnsi="Open Sans" w:cs="Open Sans"/>
                      <w:b/>
                      <w:bCs/>
                      <w:color w:val="7C8F9C"/>
                      <w:sz w:val="21"/>
                      <w:szCs w:val="21"/>
                      <w:lang w:val="en-GB" w:eastAsia="es-ES"/>
                    </w:rPr>
                    <w:t xml:space="preserve"> </w:t>
                  </w:r>
                  <w:r w:rsidRPr="00871C7D">
                    <w:rPr>
                      <w:rFonts w:ascii="Open Sans" w:eastAsia="Times New Roman" w:hAnsi="Open Sans" w:cs="Open Sans"/>
                      <w:b/>
                      <w:bCs/>
                      <w:color w:val="7C8F9C"/>
                      <w:sz w:val="21"/>
                      <w:szCs w:val="21"/>
                      <w:lang w:val="en-GB" w:eastAsia="es-ES"/>
                    </w:rPr>
                    <w:t xml:space="preserve">and applying for up to EUR </w:t>
                  </w:r>
                  <w:r w:rsidR="005629B6">
                    <w:rPr>
                      <w:rFonts w:ascii="Open Sans" w:eastAsia="Times New Roman" w:hAnsi="Open Sans" w:cs="Open Sans"/>
                      <w:b/>
                      <w:bCs/>
                      <w:color w:val="7C8F9C"/>
                      <w:sz w:val="21"/>
                      <w:szCs w:val="21"/>
                      <w:lang w:val="en-GB" w:eastAsia="es-ES"/>
                    </w:rPr>
                    <w:t>20</w:t>
                  </w:r>
                  <w:r w:rsidRPr="00871C7D">
                    <w:rPr>
                      <w:rFonts w:ascii="Open Sans" w:eastAsia="Times New Roman" w:hAnsi="Open Sans" w:cs="Open Sans"/>
                      <w:b/>
                      <w:bCs/>
                      <w:color w:val="7C8F9C"/>
                      <w:sz w:val="21"/>
                      <w:szCs w:val="21"/>
                      <w:lang w:val="en-GB" w:eastAsia="es-ES"/>
                    </w:rPr>
                    <w:t>0,000 in financing from the ADELANTE Window</w:t>
                  </w:r>
                  <w:r w:rsidRPr="00871C7D">
                    <w:rPr>
                      <w:rFonts w:ascii="Open Sans" w:eastAsia="Times New Roman" w:hAnsi="Open Sans" w:cs="Open Sans"/>
                      <w:color w:val="7C8F9C"/>
                      <w:sz w:val="21"/>
                      <w:szCs w:val="21"/>
                      <w:lang w:val="en-GB" w:eastAsia="es-ES"/>
                    </w:rPr>
                    <w:t>, while the Partnership is still required to provide co-financing of at least 25% of the total budget.</w:t>
                  </w:r>
                </w:p>
                <w:p w14:paraId="72245460" w14:textId="7CB97E9D" w:rsidR="00871C7D" w:rsidRDefault="00871C7D" w:rsidP="00871C7D">
                  <w:pPr>
                    <w:shd w:val="clear" w:color="auto" w:fill="FFFFFF"/>
                    <w:spacing w:before="120" w:line="300" w:lineRule="atLeast"/>
                    <w:jc w:val="both"/>
                    <w:rPr>
                      <w:rFonts w:ascii="Open Sans" w:eastAsia="Times New Roman" w:hAnsi="Open Sans" w:cs="Open Sans"/>
                      <w:color w:val="7C8F9C"/>
                      <w:sz w:val="21"/>
                      <w:szCs w:val="21"/>
                      <w:lang w:val="en-GB" w:eastAsia="es-ES"/>
                    </w:rPr>
                  </w:pPr>
                  <w:r w:rsidRPr="00871C7D">
                    <w:rPr>
                      <w:rFonts w:ascii="Open Sans" w:eastAsia="Times New Roman" w:hAnsi="Open Sans" w:cs="Open Sans"/>
                      <w:color w:val="7C8F9C"/>
                      <w:sz w:val="21"/>
                      <w:szCs w:val="21"/>
                      <w:lang w:val="en-GB" w:eastAsia="es-ES"/>
                    </w:rPr>
                    <w:t>On the</w:t>
                  </w:r>
                  <w:r w:rsidR="005629B6">
                    <w:rPr>
                      <w:rFonts w:ascii="Open Sans" w:eastAsia="Times New Roman" w:hAnsi="Open Sans" w:cs="Open Sans"/>
                      <w:color w:val="7C8F9C"/>
                      <w:sz w:val="21"/>
                      <w:szCs w:val="21"/>
                      <w:lang w:val="en-GB" w:eastAsia="es-ES"/>
                    </w:rPr>
                    <w:t xml:space="preserve"> </w:t>
                  </w:r>
                  <w:hyperlink r:id="rId7" w:tgtFrame="_blank" w:history="1">
                    <w:r w:rsidRPr="00871C7D">
                      <w:rPr>
                        <w:rFonts w:ascii="Open Sans" w:eastAsia="Times New Roman" w:hAnsi="Open Sans" w:cs="Open Sans"/>
                        <w:color w:val="7C8F9C"/>
                        <w:sz w:val="21"/>
                        <w:szCs w:val="21"/>
                        <w:u w:val="single"/>
                        <w:lang w:val="en-GB" w:eastAsia="es-ES"/>
                      </w:rPr>
                      <w:t>homepage of the ADELANTE Extranet</w:t>
                    </w:r>
                  </w:hyperlink>
                  <w:r w:rsidRPr="00871C7D">
                    <w:rPr>
                      <w:rFonts w:ascii="Open Sans" w:eastAsia="Times New Roman" w:hAnsi="Open Sans" w:cs="Open Sans"/>
                      <w:color w:val="7C8F9C"/>
                      <w:sz w:val="21"/>
                      <w:szCs w:val="21"/>
                      <w:lang w:val="en-GB" w:eastAsia="es-ES"/>
                    </w:rPr>
                    <w:t>, the 'Guidelines for applicants of the ADELANTE Window' is available for consultation and download, along with Version 2 - March 2022' and the 'Specific rules of the ADELANTE Window 202</w:t>
                  </w:r>
                  <w:r w:rsidR="005629B6">
                    <w:rPr>
                      <w:rFonts w:ascii="Open Sans" w:eastAsia="Times New Roman" w:hAnsi="Open Sans" w:cs="Open Sans"/>
                      <w:color w:val="7C8F9C"/>
                      <w:sz w:val="21"/>
                      <w:szCs w:val="21"/>
                      <w:lang w:val="en-GB" w:eastAsia="es-ES"/>
                    </w:rPr>
                    <w:t>3</w:t>
                  </w:r>
                  <w:r w:rsidRPr="00871C7D">
                    <w:rPr>
                      <w:rFonts w:ascii="Open Sans" w:eastAsia="Times New Roman" w:hAnsi="Open Sans" w:cs="Open Sans"/>
                      <w:color w:val="7C8F9C"/>
                      <w:sz w:val="21"/>
                      <w:szCs w:val="21"/>
                      <w:lang w:val="en-GB" w:eastAsia="es-ES"/>
                    </w:rPr>
                    <w:t>'. After registration on the ADELANTE Extranet, additional materials to facilitate the formulation of the Initiatives are available in the section 'Reference documents'.</w:t>
                  </w:r>
                </w:p>
                <w:p w14:paraId="54E34D31" w14:textId="77777777" w:rsidR="00871C7D" w:rsidRPr="00871C7D" w:rsidRDefault="00871C7D" w:rsidP="00871C7D">
                  <w:pPr>
                    <w:shd w:val="clear" w:color="auto" w:fill="FFFFFF"/>
                    <w:spacing w:before="120" w:line="300" w:lineRule="atLeast"/>
                    <w:jc w:val="both"/>
                    <w:rPr>
                      <w:rFonts w:ascii="Open Sans" w:eastAsia="Times New Roman" w:hAnsi="Open Sans" w:cs="Open Sans"/>
                      <w:color w:val="7C8F9C"/>
                      <w:sz w:val="21"/>
                      <w:szCs w:val="21"/>
                      <w:lang w:val="en-GB" w:eastAsia="es-ES"/>
                    </w:rPr>
                  </w:pPr>
                </w:p>
                <w:p w14:paraId="7F327070" w14:textId="25ACCC42" w:rsidR="00B92D4E" w:rsidRPr="00871C7D" w:rsidRDefault="00871C7D" w:rsidP="00871C7D">
                  <w:pPr>
                    <w:shd w:val="clear" w:color="auto" w:fill="FFFFFF"/>
                    <w:spacing w:before="120" w:line="300" w:lineRule="atLeast"/>
                    <w:jc w:val="both"/>
                    <w:rPr>
                      <w:rFonts w:ascii="Open Sans" w:eastAsia="Times New Roman" w:hAnsi="Open Sans" w:cs="Open Sans"/>
                      <w:color w:val="7C8F9C"/>
                      <w:sz w:val="21"/>
                      <w:szCs w:val="21"/>
                      <w:lang w:val="en-GB" w:eastAsia="es-ES"/>
                    </w:rPr>
                  </w:pPr>
                  <w:r w:rsidRPr="00871C7D">
                    <w:rPr>
                      <w:rFonts w:ascii="Open Sans" w:eastAsia="Times New Roman" w:hAnsi="Open Sans" w:cs="Open Sans"/>
                      <w:b/>
                      <w:bCs/>
                      <w:color w:val="17ABCD"/>
                      <w:sz w:val="21"/>
                      <w:szCs w:val="21"/>
                      <w:lang w:val="en-GB" w:eastAsia="es-ES"/>
                    </w:rPr>
                    <w:t>Triangular Cooperation</w:t>
                  </w:r>
                  <w:r w:rsidR="005629B6">
                    <w:rPr>
                      <w:rFonts w:ascii="Open Sans" w:eastAsia="Times New Roman" w:hAnsi="Open Sans" w:cs="Open Sans"/>
                      <w:color w:val="7C8F9C"/>
                      <w:sz w:val="21"/>
                      <w:szCs w:val="21"/>
                      <w:lang w:val="en-GB" w:eastAsia="es-ES"/>
                    </w:rPr>
                    <w:t xml:space="preserve"> </w:t>
                  </w:r>
                  <w:r w:rsidRPr="00871C7D">
                    <w:rPr>
                      <w:rFonts w:ascii="Open Sans" w:eastAsia="Times New Roman" w:hAnsi="Open Sans" w:cs="Open Sans"/>
                      <w:color w:val="7C8F9C"/>
                      <w:sz w:val="21"/>
                      <w:szCs w:val="21"/>
                      <w:lang w:val="en-GB" w:eastAsia="es-ES"/>
                    </w:rPr>
                    <w:t>is a horizontal and partnership-based modality, in which the complementary knowledge and experiences of different partners, as well as their resources, are harnessed to jointly create solutions to respond to development challenges that ultimately aim to fulfil the 2030 Agenda, along with more inclusive and sustainable development.</w:t>
                  </w:r>
                  <w:r>
                    <w:rPr>
                      <w:rFonts w:ascii="Open Sans" w:eastAsia="Times New Roman" w:hAnsi="Open Sans" w:cs="Open Sans"/>
                      <w:color w:val="7C8F9C"/>
                      <w:sz w:val="21"/>
                      <w:szCs w:val="21"/>
                      <w:lang w:val="en-GB" w:eastAsia="es-ES"/>
                    </w:rPr>
                    <w:t xml:space="preserve"> </w:t>
                  </w:r>
                  <w:r w:rsidRPr="00871C7D">
                    <w:rPr>
                      <w:rFonts w:ascii="Open Sans" w:eastAsia="Times New Roman" w:hAnsi="Open Sans" w:cs="Open Sans"/>
                      <w:b/>
                      <w:bCs/>
                      <w:color w:val="17ABCD"/>
                      <w:sz w:val="21"/>
                      <w:szCs w:val="21"/>
                      <w:lang w:val="en-GB" w:eastAsia="es-ES"/>
                    </w:rPr>
                    <w:t>The Triangular Cooperation Partnerships</w:t>
                  </w:r>
                  <w:r w:rsidR="005629B6">
                    <w:rPr>
                      <w:rFonts w:ascii="Open Sans" w:eastAsia="Times New Roman" w:hAnsi="Open Sans" w:cs="Open Sans"/>
                      <w:color w:val="7C8F9C"/>
                      <w:sz w:val="21"/>
                      <w:szCs w:val="21"/>
                      <w:lang w:val="en-GB" w:eastAsia="es-ES"/>
                    </w:rPr>
                    <w:t xml:space="preserve"> </w:t>
                  </w:r>
                  <w:r w:rsidRPr="00871C7D">
                    <w:rPr>
                      <w:rFonts w:ascii="Open Sans" w:eastAsia="Times New Roman" w:hAnsi="Open Sans" w:cs="Open Sans"/>
                      <w:color w:val="7C8F9C"/>
                      <w:sz w:val="21"/>
                      <w:szCs w:val="21"/>
                      <w:lang w:val="en-GB" w:eastAsia="es-ES"/>
                    </w:rPr>
                    <w:t xml:space="preserve">are comprised of European, Latin American and Caribbean entities, in which each fulfils one of the Triangular Cooperation roles (Beneficiary, </w:t>
                  </w:r>
                  <w:proofErr w:type="gramStart"/>
                  <w:r w:rsidRPr="00871C7D">
                    <w:rPr>
                      <w:rFonts w:ascii="Open Sans" w:eastAsia="Times New Roman" w:hAnsi="Open Sans" w:cs="Open Sans"/>
                      <w:color w:val="7C8F9C"/>
                      <w:sz w:val="21"/>
                      <w:szCs w:val="21"/>
                      <w:lang w:val="en-GB" w:eastAsia="es-ES"/>
                    </w:rPr>
                    <w:t>First</w:t>
                  </w:r>
                  <w:proofErr w:type="gramEnd"/>
                  <w:r w:rsidRPr="00871C7D">
                    <w:rPr>
                      <w:rFonts w:ascii="Open Sans" w:eastAsia="Times New Roman" w:hAnsi="Open Sans" w:cs="Open Sans"/>
                      <w:color w:val="7C8F9C"/>
                      <w:sz w:val="21"/>
                      <w:szCs w:val="21"/>
                      <w:lang w:val="en-GB" w:eastAsia="es-ES"/>
                    </w:rPr>
                    <w:t xml:space="preserve"> provider and Second provider), in order to harness the full potential of this modality to meet the development challenges of today.</w:t>
                  </w:r>
                  <w:r>
                    <w:rPr>
                      <w:rFonts w:ascii="Open Sans" w:eastAsia="Times New Roman" w:hAnsi="Open Sans" w:cs="Open Sans"/>
                      <w:color w:val="7C8F9C"/>
                      <w:sz w:val="21"/>
                      <w:szCs w:val="21"/>
                      <w:lang w:val="en-GB" w:eastAsia="es-ES"/>
                    </w:rPr>
                    <w:t xml:space="preserve"> </w:t>
                  </w:r>
                  <w:r w:rsidRPr="00871C7D">
                    <w:rPr>
                      <w:rFonts w:ascii="Open Sans" w:eastAsia="Times New Roman" w:hAnsi="Open Sans" w:cs="Open Sans"/>
                      <w:b/>
                      <w:bCs/>
                      <w:color w:val="17ABCD"/>
                      <w:sz w:val="21"/>
                      <w:szCs w:val="21"/>
                      <w:lang w:val="en-GB" w:eastAsia="es-ES"/>
                    </w:rPr>
                    <w:t>The Triangular Cooperation Initiatives</w:t>
                  </w:r>
                  <w:r w:rsidR="005629B6">
                    <w:rPr>
                      <w:rFonts w:ascii="Open Sans" w:eastAsia="Times New Roman" w:hAnsi="Open Sans" w:cs="Open Sans"/>
                      <w:b/>
                      <w:bCs/>
                      <w:color w:val="17ABCD"/>
                      <w:sz w:val="21"/>
                      <w:szCs w:val="21"/>
                      <w:lang w:val="en-GB" w:eastAsia="es-ES"/>
                    </w:rPr>
                    <w:t xml:space="preserve"> </w:t>
                  </w:r>
                  <w:r w:rsidRPr="00871C7D">
                    <w:rPr>
                      <w:rFonts w:ascii="Open Sans" w:eastAsia="Times New Roman" w:hAnsi="Open Sans" w:cs="Open Sans"/>
                      <w:color w:val="7C8F9C"/>
                      <w:sz w:val="21"/>
                      <w:szCs w:val="21"/>
                      <w:lang w:val="en-GB" w:eastAsia="es-ES"/>
                    </w:rPr>
                    <w:t>are based on the premise of harnessing the expertise and knowledge of the Partnership's member entities, in order to generate new knowledge that can be applied to respond effectively to a certain development challenge. Ideally, this new knowledge is collected and systematised in models or prototypes that facilitate its application, especially when pilot applications or experiences, or similar, have taken place. This logic in itself leads to capacity building among the entities and in the Partnership itself, which is one of the key elements of the added value of Triangular Cooperation, as well as fostering the creation of specialised networks that extend beyond the Partnership.</w:t>
                  </w:r>
                </w:p>
              </w:tc>
            </w:tr>
          </w:tbl>
          <w:p w14:paraId="09BBAE72" w14:textId="77777777" w:rsidR="008A6140" w:rsidRPr="00871C7D" w:rsidRDefault="008A6140" w:rsidP="00871C7D">
            <w:pPr>
              <w:spacing w:before="120"/>
              <w:rPr>
                <w:sz w:val="20"/>
                <w:szCs w:val="20"/>
                <w:lang w:val="en-GB"/>
              </w:rPr>
            </w:pPr>
          </w:p>
        </w:tc>
      </w:tr>
    </w:tbl>
    <w:p w14:paraId="0E8980B3" w14:textId="6ABCDFCA" w:rsidR="00871C7D" w:rsidRPr="00871C7D" w:rsidRDefault="007F5817" w:rsidP="00871C7D">
      <w:pPr>
        <w:spacing w:before="120"/>
        <w:jc w:val="center"/>
        <w:rPr>
          <w:b/>
          <w:color w:val="0563C1" w:themeColor="hyperlink"/>
          <w:sz w:val="36"/>
          <w:szCs w:val="36"/>
          <w:u w:val="single"/>
          <w:lang w:val="en-GB"/>
        </w:rPr>
      </w:pPr>
      <w:hyperlink r:id="rId8" w:history="1">
        <w:r w:rsidR="00871C7D" w:rsidRPr="00871C7D">
          <w:rPr>
            <w:rStyle w:val="Hyperlink"/>
            <w:b/>
            <w:sz w:val="36"/>
            <w:szCs w:val="36"/>
            <w:lang w:val="en-GB"/>
          </w:rPr>
          <w:t>http://www.adelante2.eu</w:t>
        </w:r>
      </w:hyperlink>
    </w:p>
    <w:p w14:paraId="4C1B04DB" w14:textId="3B9054A7" w:rsidR="00871C7D" w:rsidRPr="00871C7D" w:rsidRDefault="00871C7D" w:rsidP="00871C7D">
      <w:pPr>
        <w:spacing w:before="120"/>
        <w:jc w:val="center"/>
        <w:rPr>
          <w:lang w:val="en-GB"/>
        </w:rPr>
      </w:pPr>
      <w:r w:rsidRPr="00871C7D">
        <w:rPr>
          <w:lang w:val="en-GB"/>
        </w:rPr>
        <w:t xml:space="preserve">Hashtag: </w:t>
      </w:r>
      <w:r w:rsidRPr="005629B6">
        <w:rPr>
          <w:b/>
          <w:lang w:val="en-GB"/>
        </w:rPr>
        <w:t>#</w:t>
      </w:r>
      <w:proofErr w:type="spellStart"/>
      <w:r w:rsidRPr="005629B6">
        <w:rPr>
          <w:b/>
          <w:lang w:val="en-GB"/>
        </w:rPr>
        <w:t>Triangular</w:t>
      </w:r>
      <w:r w:rsidR="005629B6" w:rsidRPr="005629B6">
        <w:rPr>
          <w:b/>
          <w:lang w:val="en-GB"/>
        </w:rPr>
        <w:t>Cooperation</w:t>
      </w:r>
      <w:r w:rsidRPr="00871C7D">
        <w:rPr>
          <w:lang w:val="en-GB"/>
        </w:rPr>
        <w:t>|Facebook</w:t>
      </w:r>
      <w:proofErr w:type="spellEnd"/>
      <w:r w:rsidRPr="00871C7D">
        <w:rPr>
          <w:lang w:val="en-GB"/>
        </w:rPr>
        <w:t xml:space="preserve">: </w:t>
      </w:r>
      <w:hyperlink r:id="rId9" w:history="1">
        <w:r w:rsidRPr="00871C7D">
          <w:rPr>
            <w:b/>
            <w:color w:val="0563C1" w:themeColor="hyperlink"/>
            <w:u w:val="single"/>
            <w:lang w:val="en-GB"/>
          </w:rPr>
          <w:t>@ADELANTE.UE.ALC</w:t>
        </w:r>
      </w:hyperlink>
      <w:r w:rsidRPr="00871C7D">
        <w:rPr>
          <w:lang w:val="en-GB"/>
        </w:rPr>
        <w:t xml:space="preserve"> </w:t>
      </w:r>
      <w:bookmarkStart w:id="1" w:name="_Hlk100300928"/>
      <w:r w:rsidRPr="00871C7D">
        <w:rPr>
          <w:lang w:val="en-GB"/>
        </w:rPr>
        <w:t>|</w:t>
      </w:r>
      <w:bookmarkEnd w:id="1"/>
      <w:r w:rsidRPr="00871C7D">
        <w:rPr>
          <w:lang w:val="en-GB"/>
        </w:rPr>
        <w:t xml:space="preserve"> Twitter: </w:t>
      </w:r>
      <w:hyperlink r:id="rId10" w:history="1">
        <w:r w:rsidRPr="00871C7D">
          <w:rPr>
            <w:b/>
            <w:color w:val="0563C1" w:themeColor="hyperlink"/>
            <w:u w:val="single"/>
            <w:lang w:val="en-GB"/>
          </w:rPr>
          <w:t>@ADELANTE-UE-ALC</w:t>
        </w:r>
      </w:hyperlink>
      <w:r w:rsidRPr="00871C7D">
        <w:rPr>
          <w:lang w:val="en-GB"/>
        </w:rPr>
        <w:t xml:space="preserve"> | </w:t>
      </w:r>
    </w:p>
    <w:p w14:paraId="43961761" w14:textId="22C32C74" w:rsidR="00871C7D" w:rsidRPr="00871C7D" w:rsidRDefault="00871C7D" w:rsidP="00871C7D">
      <w:pPr>
        <w:spacing w:before="120"/>
        <w:jc w:val="center"/>
      </w:pPr>
      <w:r w:rsidRPr="00871C7D">
        <w:rPr>
          <w:b/>
        </w:rPr>
        <w:t xml:space="preserve">INFO: </w:t>
      </w:r>
      <w:r w:rsidRPr="00871C7D">
        <w:t>L</w:t>
      </w:r>
      <w:r w:rsidR="005629B6">
        <w:t xml:space="preserve">ivia Galita </w:t>
      </w:r>
      <w:r w:rsidRPr="00871C7D">
        <w:t xml:space="preserve">| Tel.: +32 229 68498 | </w:t>
      </w:r>
      <w:hyperlink r:id="rId11" w:history="1">
        <w:r w:rsidR="005629B6">
          <w:rPr>
            <w:color w:val="0563C1" w:themeColor="hyperlink"/>
            <w:u w:val="single"/>
          </w:rPr>
          <w:t>Livia Galita</w:t>
        </w:r>
        <w:r w:rsidRPr="00871C7D">
          <w:rPr>
            <w:color w:val="0563C1" w:themeColor="hyperlink"/>
            <w:u w:val="single"/>
          </w:rPr>
          <w:t>@ec.europa.eu</w:t>
        </w:r>
      </w:hyperlink>
    </w:p>
    <w:sectPr w:rsidR="00871C7D" w:rsidRPr="00871C7D" w:rsidSect="00CC646D">
      <w:pgSz w:w="12240" w:h="15840"/>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0000000000000000000"/>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40"/>
    <w:rsid w:val="00081B3E"/>
    <w:rsid w:val="00262DB4"/>
    <w:rsid w:val="00324030"/>
    <w:rsid w:val="00514883"/>
    <w:rsid w:val="005629B6"/>
    <w:rsid w:val="006A270F"/>
    <w:rsid w:val="007F5817"/>
    <w:rsid w:val="00855CBD"/>
    <w:rsid w:val="00871C7D"/>
    <w:rsid w:val="008A6140"/>
    <w:rsid w:val="008C4CE9"/>
    <w:rsid w:val="00934AFD"/>
    <w:rsid w:val="009B34D5"/>
    <w:rsid w:val="00B92D4E"/>
    <w:rsid w:val="00C573B2"/>
    <w:rsid w:val="00CA4551"/>
    <w:rsid w:val="00D80914"/>
    <w:rsid w:val="00E73660"/>
    <w:rsid w:val="00EA741D"/>
    <w:rsid w:val="00F2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64CB"/>
  <w14:defaultImageDpi w14:val="32767"/>
  <w15:chartTrackingRefBased/>
  <w15:docId w15:val="{9FC4D09F-94A0-B14C-A227-9507B369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6140"/>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140"/>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8A6140"/>
    <w:rPr>
      <w:color w:val="0563C1" w:themeColor="hyperlink"/>
      <w:u w:val="single"/>
    </w:rPr>
  </w:style>
  <w:style w:type="character" w:styleId="UnresolvedMention">
    <w:name w:val="Unresolved Mention"/>
    <w:basedOn w:val="DefaultParagraphFont"/>
    <w:uiPriority w:val="99"/>
    <w:rsid w:val="009B3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439010">
      <w:bodyDiv w:val="1"/>
      <w:marLeft w:val="0"/>
      <w:marRight w:val="0"/>
      <w:marTop w:val="0"/>
      <w:marBottom w:val="0"/>
      <w:divBdr>
        <w:top w:val="none" w:sz="0" w:space="0" w:color="auto"/>
        <w:left w:val="none" w:sz="0" w:space="0" w:color="auto"/>
        <w:bottom w:val="none" w:sz="0" w:space="0" w:color="auto"/>
        <w:right w:val="none" w:sz="0" w:space="0" w:color="auto"/>
      </w:divBdr>
      <w:divsChild>
        <w:div w:id="1399591215">
          <w:marLeft w:val="0"/>
          <w:marRight w:val="0"/>
          <w:marTop w:val="450"/>
          <w:marBottom w:val="0"/>
          <w:divBdr>
            <w:top w:val="single" w:sz="6" w:space="8" w:color="5FCDE6"/>
            <w:left w:val="single" w:sz="6" w:space="15" w:color="5FCDE6"/>
            <w:bottom w:val="single" w:sz="6" w:space="8" w:color="5FCDE6"/>
            <w:right w:val="single" w:sz="6" w:space="15" w:color="5FCDE6"/>
          </w:divBdr>
        </w:div>
      </w:divsChild>
    </w:div>
    <w:div w:id="191058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elante2.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xtranet.adelante2.eu/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delante2.eu/en/initiatives-list" TargetMode="External"/><Relationship Id="rId11" Type="http://schemas.openxmlformats.org/officeDocument/2006/relationships/hyperlink" Target="mailto:livia.galita@ec.europa.eu" TargetMode="External"/><Relationship Id="rId5" Type="http://schemas.openxmlformats.org/officeDocument/2006/relationships/image" Target="media/image1.png"/><Relationship Id="rId10" Type="http://schemas.openxmlformats.org/officeDocument/2006/relationships/hyperlink" Target="https://twitter.com/ADELANTE_UE_ALC" TargetMode="External"/><Relationship Id="rId4" Type="http://schemas.openxmlformats.org/officeDocument/2006/relationships/webSettings" Target="webSettings.xml"/><Relationship Id="rId9" Type="http://schemas.openxmlformats.org/officeDocument/2006/relationships/hyperlink" Target="https://www.facebook.com/ADELANTE.UE.A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EEED-D02B-DB4E-8F51-28B848F8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402</Words>
  <Characters>2828</Characters>
  <Application>Microsoft Office Word</Application>
  <DocSecurity>0</DocSecurity>
  <Lines>128</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Hicham Boughdadi</dc:creator>
  <cp:keywords/>
  <dc:description/>
  <cp:lastModifiedBy>Hicham Boughdadi</cp:lastModifiedBy>
  <cp:revision>4</cp:revision>
  <dcterms:created xsi:type="dcterms:W3CDTF">2022-04-08T07:49:00Z</dcterms:created>
  <dcterms:modified xsi:type="dcterms:W3CDTF">2023-03-23T16:43:00Z</dcterms:modified>
</cp:coreProperties>
</file>